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43D" w:rsidRPr="00BA5EC9" w:rsidRDefault="00FB6F39" w:rsidP="0097095C">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Pr>
          <w:rFonts w:ascii="Arial" w:hAnsi="Arial" w:cs="Arial"/>
          <w:sz w:val="22"/>
          <w:szCs w:val="22"/>
        </w:rPr>
        <w:t xml:space="preserve">In </w:t>
      </w:r>
      <w:r w:rsidR="0080643D" w:rsidRPr="00BA5EC9">
        <w:rPr>
          <w:rFonts w:ascii="Arial" w:hAnsi="Arial" w:cs="Arial"/>
          <w:sz w:val="22"/>
          <w:szCs w:val="22"/>
        </w:rPr>
        <w:t>December 2008, the Queensland Government announced the mo</w:t>
      </w:r>
      <w:r w:rsidR="0080643D">
        <w:rPr>
          <w:rFonts w:ascii="Arial" w:hAnsi="Arial" w:cs="Arial"/>
          <w:sz w:val="22"/>
          <w:szCs w:val="22"/>
        </w:rPr>
        <w:t>st comprehensive review of the S</w:t>
      </w:r>
      <w:r w:rsidR="0080643D" w:rsidRPr="00BA5EC9">
        <w:rPr>
          <w:rFonts w:ascii="Arial" w:hAnsi="Arial" w:cs="Arial"/>
          <w:sz w:val="22"/>
          <w:szCs w:val="22"/>
        </w:rPr>
        <w:t>tate's swimming pool safety laws in nearly 20 years. An independent swimming pool safety review committee was th</w:t>
      </w:r>
      <w:r w:rsidR="0097095C">
        <w:rPr>
          <w:rFonts w:ascii="Arial" w:hAnsi="Arial" w:cs="Arial"/>
          <w:sz w:val="22"/>
          <w:szCs w:val="22"/>
        </w:rPr>
        <w:t>en established and presented 23 </w:t>
      </w:r>
      <w:r w:rsidR="0080643D" w:rsidRPr="00BA5EC9">
        <w:rPr>
          <w:rFonts w:ascii="Arial" w:hAnsi="Arial" w:cs="Arial"/>
          <w:sz w:val="22"/>
          <w:szCs w:val="22"/>
        </w:rPr>
        <w:t xml:space="preserve">improvement ideas to the </w:t>
      </w:r>
      <w:r w:rsidR="0080643D">
        <w:rPr>
          <w:rFonts w:ascii="Arial" w:hAnsi="Arial" w:cs="Arial"/>
          <w:sz w:val="22"/>
          <w:szCs w:val="22"/>
        </w:rPr>
        <w:t>G</w:t>
      </w:r>
      <w:r w:rsidR="0080643D" w:rsidRPr="00BA5EC9">
        <w:rPr>
          <w:rFonts w:ascii="Arial" w:hAnsi="Arial" w:cs="Arial"/>
          <w:sz w:val="22"/>
          <w:szCs w:val="22"/>
        </w:rPr>
        <w:t>overnment for consideration. Following exte</w:t>
      </w:r>
      <w:r w:rsidR="0080643D">
        <w:rPr>
          <w:rFonts w:ascii="Arial" w:hAnsi="Arial" w:cs="Arial"/>
          <w:sz w:val="22"/>
          <w:szCs w:val="22"/>
        </w:rPr>
        <w:t>nsive public consultation, the G</w:t>
      </w:r>
      <w:r w:rsidR="0080643D" w:rsidRPr="00BA5EC9">
        <w:rPr>
          <w:rFonts w:ascii="Arial" w:hAnsi="Arial" w:cs="Arial"/>
          <w:sz w:val="22"/>
          <w:szCs w:val="22"/>
        </w:rPr>
        <w:t>overnment adopted all the swimming pool safety review committee’s improvement ideas.</w:t>
      </w:r>
    </w:p>
    <w:p w:rsidR="0080643D" w:rsidRDefault="0080643D" w:rsidP="0097095C">
      <w:pPr>
        <w:numPr>
          <w:ilvl w:val="0"/>
          <w:numId w:val="1"/>
        </w:numPr>
        <w:tabs>
          <w:tab w:val="clear" w:pos="720"/>
          <w:tab w:val="num" w:pos="360"/>
        </w:tabs>
        <w:spacing w:before="240"/>
        <w:ind w:left="360"/>
        <w:jc w:val="both"/>
        <w:rPr>
          <w:rFonts w:ascii="Arial" w:hAnsi="Arial" w:cs="Arial"/>
          <w:sz w:val="22"/>
          <w:szCs w:val="22"/>
        </w:rPr>
      </w:pPr>
      <w:r w:rsidRPr="00BA5EC9">
        <w:rPr>
          <w:rFonts w:ascii="Arial" w:hAnsi="Arial" w:cs="Arial"/>
          <w:sz w:val="22"/>
          <w:szCs w:val="22"/>
        </w:rPr>
        <w:t xml:space="preserve">It is estimated that the pool fencing laws first introduced in 1991 have saved the lives of over 70 young children between 1992 and 2001. However, drowning and immersion injuries to young children aged under five remains a serious risk. </w:t>
      </w:r>
      <w:r w:rsidR="0097095C">
        <w:rPr>
          <w:rFonts w:ascii="Arial" w:hAnsi="Arial" w:cs="Arial"/>
          <w:sz w:val="22"/>
          <w:szCs w:val="22"/>
        </w:rPr>
        <w:t xml:space="preserve">A total of </w:t>
      </w:r>
      <w:r w:rsidRPr="00BA5EC9">
        <w:rPr>
          <w:rFonts w:ascii="Arial" w:hAnsi="Arial" w:cs="Arial"/>
          <w:sz w:val="22"/>
          <w:szCs w:val="22"/>
        </w:rPr>
        <w:t>35 young children have drowned in residential swimming pools in the last six years.</w:t>
      </w:r>
    </w:p>
    <w:p w:rsidR="00FB6F39" w:rsidRPr="00FB6F39" w:rsidRDefault="0080643D" w:rsidP="0097095C">
      <w:pPr>
        <w:numPr>
          <w:ilvl w:val="0"/>
          <w:numId w:val="1"/>
        </w:numPr>
        <w:tabs>
          <w:tab w:val="clear" w:pos="720"/>
          <w:tab w:val="num" w:pos="360"/>
        </w:tabs>
        <w:spacing w:before="240" w:after="120"/>
        <w:ind w:left="363" w:hanging="357"/>
        <w:jc w:val="both"/>
        <w:rPr>
          <w:rFonts w:ascii="Arial" w:hAnsi="Arial" w:cs="Arial"/>
          <w:bCs/>
          <w:spacing w:val="-3"/>
          <w:sz w:val="22"/>
          <w:szCs w:val="22"/>
        </w:rPr>
      </w:pPr>
      <w:r w:rsidRPr="00BA5EC9">
        <w:rPr>
          <w:rFonts w:ascii="Arial" w:hAnsi="Arial" w:cs="Arial"/>
          <w:sz w:val="22"/>
          <w:szCs w:val="22"/>
        </w:rPr>
        <w:t xml:space="preserve">The improvement strategy is being implemented in two stages. Stage one </w:t>
      </w:r>
      <w:r w:rsidR="00FB6F39">
        <w:rPr>
          <w:rFonts w:ascii="Arial" w:hAnsi="Arial" w:cs="Arial"/>
          <w:sz w:val="22"/>
          <w:szCs w:val="22"/>
        </w:rPr>
        <w:t>applies to new</w:t>
      </w:r>
      <w:r w:rsidR="001E46F1">
        <w:rPr>
          <w:rFonts w:ascii="Arial" w:hAnsi="Arial" w:cs="Arial"/>
          <w:sz w:val="22"/>
          <w:szCs w:val="22"/>
        </w:rPr>
        <w:t xml:space="preserve">ly constructed </w:t>
      </w:r>
      <w:r w:rsidR="00FB6F39">
        <w:rPr>
          <w:rFonts w:ascii="Arial" w:hAnsi="Arial" w:cs="Arial"/>
          <w:sz w:val="22"/>
          <w:szCs w:val="22"/>
        </w:rPr>
        <w:t xml:space="preserve">swimming pools and </w:t>
      </w:r>
      <w:r w:rsidRPr="00BA5EC9">
        <w:rPr>
          <w:rFonts w:ascii="Arial" w:hAnsi="Arial" w:cs="Arial"/>
          <w:sz w:val="22"/>
          <w:szCs w:val="22"/>
        </w:rPr>
        <w:t>took effect on 1 December 2009. Stage two</w:t>
      </w:r>
      <w:r w:rsidR="0097095C">
        <w:rPr>
          <w:rFonts w:ascii="Arial" w:hAnsi="Arial" w:cs="Arial"/>
          <w:sz w:val="22"/>
          <w:szCs w:val="22"/>
        </w:rPr>
        <w:t xml:space="preserve"> will affect</w:t>
      </w:r>
      <w:r w:rsidR="00FB6F39">
        <w:rPr>
          <w:rFonts w:ascii="Arial" w:hAnsi="Arial" w:cs="Arial"/>
          <w:sz w:val="22"/>
          <w:szCs w:val="22"/>
        </w:rPr>
        <w:t xml:space="preserve"> existing pools</w:t>
      </w:r>
      <w:r w:rsidRPr="00BA5EC9">
        <w:rPr>
          <w:rFonts w:ascii="Arial" w:hAnsi="Arial" w:cs="Arial"/>
          <w:sz w:val="22"/>
          <w:szCs w:val="22"/>
        </w:rPr>
        <w:t xml:space="preserve">. </w:t>
      </w:r>
    </w:p>
    <w:p w:rsidR="00FB6F39" w:rsidRPr="00BA5EC9" w:rsidRDefault="00FB6F39" w:rsidP="0097095C">
      <w:pPr>
        <w:numPr>
          <w:ilvl w:val="0"/>
          <w:numId w:val="1"/>
        </w:numPr>
        <w:tabs>
          <w:tab w:val="clear" w:pos="720"/>
          <w:tab w:val="num" w:pos="360"/>
        </w:tabs>
        <w:spacing w:before="240" w:after="120"/>
        <w:ind w:left="360" w:hanging="357"/>
        <w:jc w:val="both"/>
        <w:rPr>
          <w:rFonts w:ascii="Arial" w:hAnsi="Arial" w:cs="Arial"/>
          <w:sz w:val="22"/>
          <w:szCs w:val="22"/>
        </w:rPr>
      </w:pPr>
      <w:r>
        <w:rPr>
          <w:rFonts w:ascii="Arial" w:hAnsi="Arial" w:cs="Arial"/>
          <w:sz w:val="22"/>
          <w:szCs w:val="22"/>
        </w:rPr>
        <w:t xml:space="preserve">The </w:t>
      </w:r>
      <w:r w:rsidRPr="00FB6F39">
        <w:rPr>
          <w:rFonts w:ascii="Arial" w:hAnsi="Arial" w:cs="Arial"/>
          <w:i/>
          <w:sz w:val="22"/>
          <w:szCs w:val="22"/>
        </w:rPr>
        <w:t>Building Amendment Regulation (No.</w:t>
      </w:r>
      <w:r w:rsidR="005147FC">
        <w:rPr>
          <w:rFonts w:ascii="Arial" w:hAnsi="Arial" w:cs="Arial"/>
          <w:i/>
          <w:sz w:val="22"/>
          <w:szCs w:val="22"/>
        </w:rPr>
        <w:t>4</w:t>
      </w:r>
      <w:r w:rsidRPr="00FB6F39">
        <w:rPr>
          <w:rFonts w:ascii="Arial" w:hAnsi="Arial" w:cs="Arial"/>
          <w:i/>
          <w:sz w:val="22"/>
          <w:szCs w:val="22"/>
        </w:rPr>
        <w:t>) 2010</w:t>
      </w:r>
      <w:r>
        <w:rPr>
          <w:rFonts w:ascii="Arial" w:hAnsi="Arial" w:cs="Arial"/>
          <w:sz w:val="22"/>
          <w:szCs w:val="22"/>
        </w:rPr>
        <w:t xml:space="preserve"> sets out the fees and charges for administering the swimming pool safety system.  The regulation includes:</w:t>
      </w:r>
    </w:p>
    <w:p w:rsidR="00FB6F39" w:rsidRPr="00BA5EC9" w:rsidRDefault="00FB6F39" w:rsidP="0097095C">
      <w:pPr>
        <w:numPr>
          <w:ilvl w:val="0"/>
          <w:numId w:val="5"/>
        </w:numPr>
        <w:spacing w:before="120"/>
        <w:ind w:left="714" w:hanging="357"/>
        <w:jc w:val="both"/>
        <w:rPr>
          <w:rFonts w:ascii="Arial" w:hAnsi="Arial" w:cs="Arial"/>
          <w:sz w:val="22"/>
          <w:szCs w:val="22"/>
        </w:rPr>
      </w:pPr>
      <w:r w:rsidRPr="00BA5EC9">
        <w:rPr>
          <w:rFonts w:ascii="Arial" w:hAnsi="Arial" w:cs="Arial"/>
          <w:sz w:val="22"/>
          <w:szCs w:val="22"/>
        </w:rPr>
        <w:t>setting out the fees and charges required to fund the pool safety system, including licence fees for pool safety inspectors, course approval fees for pool safety course providers and a fee of $25 per pool safety certificate to be</w:t>
      </w:r>
      <w:r>
        <w:rPr>
          <w:rFonts w:ascii="Arial" w:hAnsi="Arial" w:cs="Arial"/>
          <w:sz w:val="22"/>
          <w:szCs w:val="22"/>
        </w:rPr>
        <w:t xml:space="preserve"> paid by pool safety inspectors.</w:t>
      </w:r>
    </w:p>
    <w:p w:rsidR="00FB6F39" w:rsidRPr="00BA5EC9" w:rsidRDefault="00FB6F39" w:rsidP="0097095C">
      <w:pPr>
        <w:numPr>
          <w:ilvl w:val="0"/>
          <w:numId w:val="5"/>
        </w:numPr>
        <w:spacing w:before="120"/>
        <w:ind w:left="714" w:hanging="357"/>
        <w:jc w:val="both"/>
        <w:rPr>
          <w:rFonts w:ascii="Arial" w:hAnsi="Arial" w:cs="Arial"/>
          <w:sz w:val="22"/>
          <w:szCs w:val="22"/>
        </w:rPr>
      </w:pPr>
      <w:r w:rsidRPr="00BA5EC9">
        <w:rPr>
          <w:rFonts w:ascii="Arial" w:hAnsi="Arial" w:cs="Arial"/>
          <w:sz w:val="22"/>
          <w:szCs w:val="22"/>
        </w:rPr>
        <w:t xml:space="preserve">prescribing the minor works that can be undertaken by pool safety </w:t>
      </w:r>
      <w:r>
        <w:rPr>
          <w:rFonts w:ascii="Arial" w:hAnsi="Arial" w:cs="Arial"/>
          <w:sz w:val="22"/>
          <w:szCs w:val="22"/>
        </w:rPr>
        <w:t>inspectors.</w:t>
      </w:r>
    </w:p>
    <w:p w:rsidR="00FB6F39" w:rsidRPr="00BA5EC9" w:rsidRDefault="00FB6F39" w:rsidP="0097095C">
      <w:pPr>
        <w:numPr>
          <w:ilvl w:val="0"/>
          <w:numId w:val="5"/>
        </w:numPr>
        <w:spacing w:before="120"/>
        <w:ind w:left="714" w:hanging="357"/>
        <w:jc w:val="both"/>
        <w:rPr>
          <w:rFonts w:ascii="Arial" w:hAnsi="Arial" w:cs="Arial"/>
          <w:sz w:val="22"/>
          <w:szCs w:val="22"/>
        </w:rPr>
      </w:pPr>
      <w:r w:rsidRPr="00BA5EC9">
        <w:rPr>
          <w:rFonts w:ascii="Arial" w:hAnsi="Arial" w:cs="Arial"/>
          <w:sz w:val="22"/>
          <w:szCs w:val="22"/>
        </w:rPr>
        <w:t>other matters related to the effective function of the pool safety inspection system.</w:t>
      </w:r>
    </w:p>
    <w:p w:rsidR="00F42E60" w:rsidRPr="0097095C" w:rsidRDefault="0080643D" w:rsidP="0097095C">
      <w:pPr>
        <w:numPr>
          <w:ilvl w:val="0"/>
          <w:numId w:val="1"/>
        </w:numPr>
        <w:tabs>
          <w:tab w:val="clear" w:pos="720"/>
          <w:tab w:val="num" w:pos="360"/>
        </w:tabs>
        <w:spacing w:before="240"/>
        <w:ind w:left="363" w:hanging="357"/>
        <w:jc w:val="both"/>
        <w:rPr>
          <w:rFonts w:ascii="Arial" w:hAnsi="Arial" w:cs="Arial"/>
        </w:rPr>
      </w:pPr>
      <w:r w:rsidRPr="00BA5EC9">
        <w:rPr>
          <w:rFonts w:ascii="Arial" w:hAnsi="Arial" w:cs="Arial"/>
          <w:sz w:val="22"/>
          <w:szCs w:val="22"/>
          <w:u w:val="single"/>
        </w:rPr>
        <w:t>Cabinet endorsed</w:t>
      </w:r>
      <w:r w:rsidRPr="00BA5EC9">
        <w:rPr>
          <w:rFonts w:ascii="Arial" w:hAnsi="Arial" w:cs="Arial"/>
          <w:sz w:val="22"/>
          <w:szCs w:val="22"/>
        </w:rPr>
        <w:t xml:space="preserve"> the </w:t>
      </w:r>
      <w:r w:rsidRPr="00BA5EC9">
        <w:rPr>
          <w:rFonts w:ascii="Arial" w:hAnsi="Arial" w:cs="Arial"/>
          <w:i/>
          <w:sz w:val="22"/>
          <w:szCs w:val="22"/>
        </w:rPr>
        <w:t xml:space="preserve">Building Amendment Regulation (No. </w:t>
      </w:r>
      <w:r w:rsidR="005147FC">
        <w:rPr>
          <w:rFonts w:ascii="Arial" w:hAnsi="Arial" w:cs="Arial"/>
          <w:i/>
          <w:sz w:val="22"/>
          <w:szCs w:val="22"/>
        </w:rPr>
        <w:t>4</w:t>
      </w:r>
      <w:r w:rsidRPr="00BA5EC9">
        <w:rPr>
          <w:rFonts w:ascii="Arial" w:hAnsi="Arial" w:cs="Arial"/>
          <w:i/>
          <w:sz w:val="22"/>
          <w:szCs w:val="22"/>
        </w:rPr>
        <w:t>) 2010</w:t>
      </w:r>
      <w:r w:rsidRPr="00BA5EC9">
        <w:rPr>
          <w:rFonts w:ascii="Arial" w:hAnsi="Arial" w:cs="Arial"/>
          <w:sz w:val="22"/>
          <w:szCs w:val="22"/>
        </w:rPr>
        <w:t xml:space="preserve"> be forwarded to the Governor in Council for approval</w:t>
      </w:r>
      <w:r w:rsidRPr="0097095C">
        <w:rPr>
          <w:rFonts w:ascii="Arial" w:hAnsi="Arial" w:cs="Arial"/>
          <w:sz w:val="22"/>
          <w:szCs w:val="22"/>
        </w:rPr>
        <w:t xml:space="preserve">.  </w:t>
      </w:r>
    </w:p>
    <w:p w:rsidR="0097095C" w:rsidRPr="0097095C" w:rsidRDefault="0097095C" w:rsidP="00E6209A">
      <w:pPr>
        <w:numPr>
          <w:ilvl w:val="0"/>
          <w:numId w:val="1"/>
        </w:numPr>
        <w:tabs>
          <w:tab w:val="clear" w:pos="720"/>
          <w:tab w:val="num" w:pos="360"/>
        </w:tabs>
        <w:spacing w:before="360"/>
        <w:ind w:left="363" w:hanging="357"/>
        <w:jc w:val="both"/>
        <w:rPr>
          <w:rFonts w:ascii="Arial" w:hAnsi="Arial" w:cs="Arial"/>
          <w:sz w:val="22"/>
        </w:rPr>
      </w:pPr>
      <w:r>
        <w:rPr>
          <w:rFonts w:ascii="Arial" w:hAnsi="Arial" w:cs="Arial"/>
          <w:i/>
          <w:sz w:val="22"/>
          <w:szCs w:val="22"/>
          <w:u w:val="single"/>
        </w:rPr>
        <w:t>Attachments</w:t>
      </w:r>
    </w:p>
    <w:p w:rsidR="0097095C" w:rsidRPr="0097095C" w:rsidRDefault="001F1CDD" w:rsidP="0097095C">
      <w:pPr>
        <w:numPr>
          <w:ilvl w:val="0"/>
          <w:numId w:val="6"/>
        </w:numPr>
        <w:spacing w:before="120"/>
        <w:ind w:left="720" w:hanging="357"/>
        <w:jc w:val="both"/>
      </w:pPr>
      <w:hyperlink r:id="rId7" w:history="1">
        <w:r w:rsidR="0097095C" w:rsidRPr="00F87109">
          <w:rPr>
            <w:rStyle w:val="Hyperlink"/>
            <w:rFonts w:ascii="Arial" w:hAnsi="Arial" w:cs="Arial"/>
            <w:i/>
            <w:sz w:val="22"/>
            <w:szCs w:val="22"/>
          </w:rPr>
          <w:t>Building Amendment Regulation (No. 4) 2010</w:t>
        </w:r>
      </w:hyperlink>
    </w:p>
    <w:p w:rsidR="0097095C" w:rsidRPr="0097095C" w:rsidRDefault="001F1CDD" w:rsidP="0097095C">
      <w:pPr>
        <w:numPr>
          <w:ilvl w:val="0"/>
          <w:numId w:val="6"/>
        </w:numPr>
        <w:spacing w:before="120"/>
        <w:ind w:left="720" w:hanging="357"/>
        <w:jc w:val="both"/>
      </w:pPr>
      <w:hyperlink r:id="rId8" w:history="1">
        <w:r w:rsidR="0097095C" w:rsidRPr="00F87109">
          <w:rPr>
            <w:rStyle w:val="Hyperlink"/>
            <w:rFonts w:ascii="Arial" w:hAnsi="Arial" w:cs="Arial"/>
            <w:sz w:val="22"/>
            <w:szCs w:val="22"/>
          </w:rPr>
          <w:t>Explanatory Notes</w:t>
        </w:r>
      </w:hyperlink>
    </w:p>
    <w:p w:rsidR="0097095C" w:rsidRDefault="001F1CDD" w:rsidP="0097095C">
      <w:pPr>
        <w:numPr>
          <w:ilvl w:val="0"/>
          <w:numId w:val="6"/>
        </w:numPr>
        <w:spacing w:before="120"/>
        <w:ind w:left="720" w:hanging="357"/>
        <w:jc w:val="both"/>
      </w:pPr>
      <w:hyperlink r:id="rId9" w:history="1">
        <w:r w:rsidR="0097095C" w:rsidRPr="00F87109">
          <w:rPr>
            <w:rStyle w:val="Hyperlink"/>
            <w:rFonts w:ascii="Arial" w:hAnsi="Arial" w:cs="Arial"/>
            <w:sz w:val="22"/>
            <w:szCs w:val="22"/>
          </w:rPr>
          <w:t>Regulatory Impact Statement</w:t>
        </w:r>
      </w:hyperlink>
    </w:p>
    <w:sectPr w:rsidR="0097095C" w:rsidSect="00855514">
      <w:headerReference w:type="default" r:id="rId10"/>
      <w:footerReference w:type="default" r:id="rId11"/>
      <w:headerReference w:type="first" r:id="rId12"/>
      <w:pgSz w:w="11907" w:h="16840" w:code="9"/>
      <w:pgMar w:top="1985" w:right="1418" w:bottom="119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4C" w:rsidRDefault="0020084C">
      <w:r>
        <w:separator/>
      </w:r>
    </w:p>
  </w:endnote>
  <w:endnote w:type="continuationSeparator" w:id="0">
    <w:p w:rsidR="0020084C" w:rsidRDefault="0020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09" w:rsidRPr="001141E1" w:rsidRDefault="00F87109" w:rsidP="00C675FB">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4C" w:rsidRDefault="0020084C">
      <w:r>
        <w:separator/>
      </w:r>
    </w:p>
  </w:footnote>
  <w:footnote w:type="continuationSeparator" w:id="0">
    <w:p w:rsidR="0020084C" w:rsidRDefault="00200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09" w:rsidRPr="00F10DF9" w:rsidRDefault="00F87109" w:rsidP="00C675FB">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09" w:rsidRPr="000400F9" w:rsidRDefault="0071589C" w:rsidP="00C675FB">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F87109" w:rsidRPr="000400F9">
      <w:rPr>
        <w:rFonts w:ascii="Arial" w:hAnsi="Arial" w:cs="Arial"/>
        <w:b/>
        <w:sz w:val="22"/>
        <w:szCs w:val="22"/>
        <w:u w:val="single"/>
      </w:rPr>
      <w:t xml:space="preserve">Cabinet – </w:t>
    </w:r>
    <w:r w:rsidR="00F87109">
      <w:rPr>
        <w:rFonts w:ascii="Arial" w:hAnsi="Arial" w:cs="Arial"/>
        <w:b/>
        <w:sz w:val="22"/>
        <w:szCs w:val="22"/>
        <w:u w:val="single"/>
      </w:rPr>
      <w:t>July 2010</w:t>
    </w:r>
  </w:p>
  <w:p w:rsidR="00F87109" w:rsidRPr="00C27412" w:rsidRDefault="00F87109" w:rsidP="00C675FB">
    <w:pPr>
      <w:pStyle w:val="Header"/>
      <w:spacing w:before="120"/>
      <w:rPr>
        <w:rFonts w:ascii="Arial" w:hAnsi="Arial" w:cs="Arial"/>
        <w:b/>
        <w:sz w:val="22"/>
        <w:szCs w:val="22"/>
        <w:u w:val="single"/>
      </w:rPr>
    </w:pPr>
    <w:r>
      <w:rPr>
        <w:rFonts w:ascii="Arial" w:hAnsi="Arial" w:cs="Arial"/>
        <w:b/>
        <w:sz w:val="22"/>
        <w:szCs w:val="22"/>
        <w:u w:val="single"/>
      </w:rPr>
      <w:t>S</w:t>
    </w:r>
    <w:r w:rsidRPr="00C27412">
      <w:rPr>
        <w:rFonts w:ascii="Arial" w:hAnsi="Arial" w:cs="Arial"/>
        <w:b/>
        <w:sz w:val="22"/>
        <w:szCs w:val="22"/>
        <w:u w:val="single"/>
      </w:rPr>
      <w:t>wimming pool safety laws</w:t>
    </w:r>
  </w:p>
  <w:p w:rsidR="00F87109" w:rsidRPr="00C27412" w:rsidRDefault="00F87109" w:rsidP="00C675FB">
    <w:pPr>
      <w:pStyle w:val="Header"/>
      <w:spacing w:before="120"/>
      <w:rPr>
        <w:rFonts w:ascii="Arial" w:hAnsi="Arial" w:cs="Arial"/>
        <w:b/>
        <w:sz w:val="22"/>
        <w:szCs w:val="22"/>
        <w:u w:val="single"/>
      </w:rPr>
    </w:pPr>
    <w:r w:rsidRPr="00C27412">
      <w:rPr>
        <w:rFonts w:ascii="Arial" w:hAnsi="Arial" w:cs="Arial"/>
        <w:b/>
        <w:sz w:val="22"/>
        <w:szCs w:val="22"/>
        <w:u w:val="single"/>
      </w:rPr>
      <w:t>Minister for Infrastructure and Planning</w:t>
    </w:r>
  </w:p>
  <w:p w:rsidR="00F87109" w:rsidRPr="00C27412" w:rsidRDefault="00F87109" w:rsidP="00C675FB">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31968"/>
    <w:multiLevelType w:val="hybridMultilevel"/>
    <w:tmpl w:val="D3863C26"/>
    <w:lvl w:ilvl="0" w:tplc="0C090003">
      <w:start w:val="1"/>
      <w:numFmt w:val="bullet"/>
      <w:lvlText w:val="o"/>
      <w:lvlJc w:val="left"/>
      <w:pPr>
        <w:tabs>
          <w:tab w:val="num" w:pos="720"/>
        </w:tabs>
        <w:ind w:left="720" w:hanging="360"/>
      </w:pPr>
      <w:rPr>
        <w:rFonts w:ascii="Courier New" w:hAnsi="Courier New" w:cs="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67511"/>
    <w:multiLevelType w:val="hybridMultilevel"/>
    <w:tmpl w:val="A74C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C251C4"/>
    <w:multiLevelType w:val="hybridMultilevel"/>
    <w:tmpl w:val="2E0841E2"/>
    <w:lvl w:ilvl="0" w:tplc="0C090003">
      <w:start w:val="1"/>
      <w:numFmt w:val="bullet"/>
      <w:lvlText w:val="o"/>
      <w:lvlJc w:val="left"/>
      <w:pPr>
        <w:tabs>
          <w:tab w:val="num" w:pos="720"/>
        </w:tabs>
        <w:ind w:left="720" w:hanging="360"/>
      </w:pPr>
      <w:rPr>
        <w:rFonts w:ascii="Courier New" w:hAnsi="Courier New" w:cs="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EC80E3A"/>
    <w:multiLevelType w:val="hybridMultilevel"/>
    <w:tmpl w:val="CFC685F2"/>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3D"/>
    <w:rsid w:val="00012C4A"/>
    <w:rsid w:val="0003253D"/>
    <w:rsid w:val="000478A1"/>
    <w:rsid w:val="000709FD"/>
    <w:rsid w:val="000A7F22"/>
    <w:rsid w:val="000B10D9"/>
    <w:rsid w:val="000C25C0"/>
    <w:rsid w:val="000D41B1"/>
    <w:rsid w:val="000D650F"/>
    <w:rsid w:val="0014349A"/>
    <w:rsid w:val="001631E9"/>
    <w:rsid w:val="00195D9F"/>
    <w:rsid w:val="001A680B"/>
    <w:rsid w:val="001C543F"/>
    <w:rsid w:val="001D1203"/>
    <w:rsid w:val="001D7D72"/>
    <w:rsid w:val="001E46F1"/>
    <w:rsid w:val="001F1CDD"/>
    <w:rsid w:val="0020084C"/>
    <w:rsid w:val="00221032"/>
    <w:rsid w:val="002853E3"/>
    <w:rsid w:val="0029463E"/>
    <w:rsid w:val="00366305"/>
    <w:rsid w:val="003B23BB"/>
    <w:rsid w:val="00411848"/>
    <w:rsid w:val="00446CA0"/>
    <w:rsid w:val="00454BD5"/>
    <w:rsid w:val="0045748E"/>
    <w:rsid w:val="004F7080"/>
    <w:rsid w:val="005147FC"/>
    <w:rsid w:val="00552F89"/>
    <w:rsid w:val="005B08C9"/>
    <w:rsid w:val="00632322"/>
    <w:rsid w:val="006447F0"/>
    <w:rsid w:val="00685F28"/>
    <w:rsid w:val="006F3364"/>
    <w:rsid w:val="00705963"/>
    <w:rsid w:val="00710BB5"/>
    <w:rsid w:val="0071589C"/>
    <w:rsid w:val="00721404"/>
    <w:rsid w:val="00732471"/>
    <w:rsid w:val="00763541"/>
    <w:rsid w:val="00776C1A"/>
    <w:rsid w:val="007A3185"/>
    <w:rsid w:val="0080643D"/>
    <w:rsid w:val="00844074"/>
    <w:rsid w:val="00855514"/>
    <w:rsid w:val="008B2BE9"/>
    <w:rsid w:val="008C14A1"/>
    <w:rsid w:val="008E496C"/>
    <w:rsid w:val="0094073A"/>
    <w:rsid w:val="0094672B"/>
    <w:rsid w:val="00953A34"/>
    <w:rsid w:val="0097095C"/>
    <w:rsid w:val="009A46A5"/>
    <w:rsid w:val="00A461AF"/>
    <w:rsid w:val="00A73E73"/>
    <w:rsid w:val="00A9720D"/>
    <w:rsid w:val="00AC26A5"/>
    <w:rsid w:val="00B10701"/>
    <w:rsid w:val="00B976FB"/>
    <w:rsid w:val="00BB1B94"/>
    <w:rsid w:val="00BD52D6"/>
    <w:rsid w:val="00BF716F"/>
    <w:rsid w:val="00C204DF"/>
    <w:rsid w:val="00C52E52"/>
    <w:rsid w:val="00C675FB"/>
    <w:rsid w:val="00D227AB"/>
    <w:rsid w:val="00D7406C"/>
    <w:rsid w:val="00DA601C"/>
    <w:rsid w:val="00DC4F9F"/>
    <w:rsid w:val="00E16A59"/>
    <w:rsid w:val="00E6209A"/>
    <w:rsid w:val="00F0337B"/>
    <w:rsid w:val="00F045CD"/>
    <w:rsid w:val="00F35365"/>
    <w:rsid w:val="00F42E60"/>
    <w:rsid w:val="00F4678A"/>
    <w:rsid w:val="00F87109"/>
    <w:rsid w:val="00F95EDB"/>
    <w:rsid w:val="00FA27F9"/>
    <w:rsid w:val="00FB6F39"/>
    <w:rsid w:val="00FE3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43D"/>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643D"/>
    <w:pPr>
      <w:tabs>
        <w:tab w:val="center" w:pos="4153"/>
        <w:tab w:val="right" w:pos="8306"/>
      </w:tabs>
    </w:pPr>
    <w:rPr>
      <w:color w:val="auto"/>
    </w:rPr>
  </w:style>
  <w:style w:type="character" w:styleId="PageNumber">
    <w:name w:val="page number"/>
    <w:basedOn w:val="DefaultParagraphFont"/>
    <w:rsid w:val="0080643D"/>
  </w:style>
  <w:style w:type="paragraph" w:styleId="Footer">
    <w:name w:val="footer"/>
    <w:basedOn w:val="Normal"/>
    <w:rsid w:val="0080643D"/>
    <w:pPr>
      <w:tabs>
        <w:tab w:val="center" w:pos="4153"/>
        <w:tab w:val="right" w:pos="8306"/>
      </w:tabs>
    </w:pPr>
  </w:style>
  <w:style w:type="character" w:styleId="Hyperlink">
    <w:name w:val="Hyperlink"/>
    <w:basedOn w:val="DefaultParagraphFont"/>
    <w:rsid w:val="005147FC"/>
    <w:rPr>
      <w:color w:val="0000FF"/>
      <w:u w:val="single"/>
    </w:rPr>
  </w:style>
  <w:style w:type="paragraph" w:styleId="BalloonText">
    <w:name w:val="Balloon Text"/>
    <w:basedOn w:val="Normal"/>
    <w:link w:val="BalloonTextChar"/>
    <w:rsid w:val="00446CA0"/>
    <w:rPr>
      <w:rFonts w:ascii="Tahoma" w:hAnsi="Tahoma" w:cs="Tahoma"/>
      <w:sz w:val="16"/>
      <w:szCs w:val="16"/>
    </w:rPr>
  </w:style>
  <w:style w:type="character" w:customStyle="1" w:styleId="BalloonTextChar">
    <w:name w:val="Balloon Text Char"/>
    <w:basedOn w:val="DefaultParagraphFont"/>
    <w:link w:val="BalloonText"/>
    <w:rsid w:val="00446CA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Reg.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RIS.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1492</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1762</CharactersWithSpaces>
  <SharedDoc>false</SharedDoc>
  <HyperlinkBase>https://www.cabinet.qld.gov.au/documents/2010/Jul/Swimming Pool safety laws/</HyperlinkBase>
  <HLinks>
    <vt:vector size="18" baseType="variant">
      <vt:variant>
        <vt:i4>6291575</vt:i4>
      </vt:variant>
      <vt:variant>
        <vt:i4>6</vt:i4>
      </vt:variant>
      <vt:variant>
        <vt:i4>0</vt:i4>
      </vt:variant>
      <vt:variant>
        <vt:i4>5</vt:i4>
      </vt:variant>
      <vt:variant>
        <vt:lpwstr>Attachments/RIS.pdf</vt:lpwstr>
      </vt:variant>
      <vt:variant>
        <vt:lpwstr/>
      </vt:variant>
      <vt:variant>
        <vt:i4>8061050</vt:i4>
      </vt:variant>
      <vt:variant>
        <vt:i4>3</vt:i4>
      </vt:variant>
      <vt:variant>
        <vt:i4>0</vt:i4>
      </vt:variant>
      <vt:variant>
        <vt:i4>5</vt:i4>
      </vt:variant>
      <vt:variant>
        <vt:lpwstr>Attachments/ExNotes.pdf</vt:lpwstr>
      </vt:variant>
      <vt:variant>
        <vt:lpwstr/>
      </vt:variant>
      <vt:variant>
        <vt:i4>7077987</vt:i4>
      </vt:variant>
      <vt:variant>
        <vt:i4>0</vt:i4>
      </vt:variant>
      <vt:variant>
        <vt:i4>0</vt:i4>
      </vt:variant>
      <vt:variant>
        <vt:i4>5</vt:i4>
      </vt:variant>
      <vt:variant>
        <vt:lpwstr>Attachments/Reg.pdf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2017-10-24T22:19:00Z</dcterms:created>
  <dcterms:modified xsi:type="dcterms:W3CDTF">2018-03-06T01:02:00Z</dcterms:modified>
  <cp:category>Safety,Legislation</cp:category>
</cp:coreProperties>
</file>